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OPIS PRZEDMIOTU ZAMÓWIENIA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(zarys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„Zrealizowanie badania podłużnego w klasach siódmych i ósmych szkół podstawowych”.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Zamówienie jest realizowane w ramach projektu pn.: „Wspieranie dostępności edukacji dla dzieci i młodzieży”, finansowanego z Programu Fundusze Europejskie dla Rozwoju Społecznego 2021-2027 (FERS). Nr projektu: FERS.01.06-IP.05-0002/23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przedmiotu zamówienia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Przedmiotem zamówienia jest wykonanie dwóch pomiarów badania narzędziami wybranymi i dostarczonymi przez Zamawiającego na reprezentatywnej próbie szkół podstawowych (</w:t>
      </w:r>
      <w:r w:rsidDel="00000000" w:rsidR="00000000" w:rsidRPr="00000000">
        <w:rPr>
          <w:rtl w:val="0"/>
        </w:rPr>
        <w:t xml:space="preserve">klasy VII w I pomiarze i VIII w II pomiarze)</w:t>
      </w:r>
      <w:r w:rsidDel="00000000" w:rsidR="00000000" w:rsidRPr="00000000">
        <w:rPr>
          <w:rtl w:val="0"/>
        </w:rPr>
        <w:t xml:space="preserve">. Próba zostanie wylosowana i dostarczona przez Zamawiającego. Przez narzędzia Zamawiający rozumie zbiór pozycji testowych lub ankietowych lub zadań sprawdzających wiedzę w formie pytań lub stwierdzeń w wersji elektronicznej lub papierowej. Narzędzia przeznaczone są do samodzielnego wypełniania przez uczniów z użyciem urządzenia cyfrowego lub w przypadku testów kompetencji w formie papierowej.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Do obowiązków Wykonawcy będzie należała realizacja badania w dwóch pomiarach, w tym opracowanie harmonogramu realizacji badania, rekrutacja uczestników do badania, uzyskanie odpowiednich zgód (na wzorach dostarczonych przez Zamawiającego), organizacja i przeprowadzenie badania  w terenie w dwóch pomiarach, z użyciem 4 narzędzi (skale dobrostanu, test kompetencji z języka polskiego, test kompetencji z matematyki, wybrane podskale z modelu OKC), a w części próby także badania testem KAPP, zebranie danych pomiarowych (frekwencja, oceny z języka polskiego i matematyki), pozyskanie danych od rodziców (ankieta rodzicielska), pozyskanie wyników egzaminu ósmoklasisty, bieżące monitorowanie  i raportowanie Zamawiającemu przebiegu realizacji badania (w tym realizacji ankiety rodzicielskiej), zakodowanie danych z badania, przekazanie Zamawiającemu baz danych z badania oraz opracowanie i przekazanie Zamawiającemu raportów z badania. Do obowiązków Wykonawcy będzie należało zrekrutowanie badaczy, szkolnych koordynatorów badania i koderów.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Badania będą realizowane w szkołach, w formie audytoryjnej w formie cyfrowej oraz papierowej (testy kompetencji). </w:t>
      </w:r>
      <w:r w:rsidDel="00000000" w:rsidR="00000000" w:rsidRPr="00000000">
        <w:rPr>
          <w:rtl w:val="0"/>
        </w:rPr>
        <w:t xml:space="preserve">Badanie metodą CAPI zostanie przeprowadzone z użyciem sprzętu elektronicznego i oprogramowania dostarczonego przez Wykonawcę. Zamawiający dopuszcza możliwość opracowania przez Wykonawcę oprogramowania ankietowego oraz przeprowadzenie badania z użyciem sprzętu elektronicznego należącego do uczestników badania, jednak powinno ono odbyć się w formie audytoryjnej, przy obecności całej klasy.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 pomiar rozpocznie się w semestrze pierwszym (semestrze/półroczu zimowym) roku szkolnego 2025/2026, natomiast pomiar II rozpocznie się w semestrze pierwszym (semestrze/półroczu zimowym) roku szkolnego 2026/2027. Badanie z udziałem uczniów powinno objąć 100% zaplanowanej próby, a przez wykonane badanie Zamawiający będzie rozumiał takie badanie, w którym wszystkie jego elementy (kwestionariusz dobrostanu, wybrane podskale z modelu OKC, test KAPP w przypadku części próby, kwestionariusze kompetencji z języka polskiego i matematyki, informacje o ocenach i frekwencji, wynik egzaminu ósmoklasisty, ankieta rodzicielska) zostaną w pełni zrealizowane i dostarczone Zamawiającemu w postaci zakodowanej bazy danych.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Pożądana stopa realizacji badania to 100% zarówno dla szkół, jak i dla uczniów oraz ich rodziców. Takiej stopy realizacji badania powinna dotyczyć cena ofertowa wyznaczona przez oferentów. Wykonanie badania na poziomie wymaganych minimalnych stóp realizacji badania (90%) oznacza wynagrodzenie na poziomie 80% ceny ofertowej. Za wykonanie badania poniżej wymaganych minimalnych stóp realizacji badania naliczane będą kary, natomiast przekroczenie wymaganych stóp realizacji badania podwyższa wynagrodzenie ponad 80% ceny ofertowej. Kary i podwyższenia sumują się.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przypadku, gdy nie zostanie zrealizowana wymagana stopa realizacji, Zamawiający ma prawo ustalić karę dla Wykonawcy w wysokości 1,5% ceny ofertowej za każdy punkt procentowy poniżej progu 90%. Jeżeli Wykonawca uzyska w tej grupie osób badanych stopę realizacji badania powyżej 90%, to za każde 0,5 punktu procentowego powyżej wymaganego progu, Wykonawca uzyska 0,5% ceny ofertowej (maksimum 10% ceny ofertowej).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  <w:t xml:space="preserve">  </w:t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123825</wp:posOffset>
          </wp:positionV>
          <wp:extent cx="7586028" cy="975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411" l="0" r="0" t="6411"/>
                  <a:stretch>
                    <a:fillRect/>
                  </a:stretch>
                </pic:blipFill>
                <pic:spPr>
                  <a:xfrm>
                    <a:off x="0" y="0"/>
                    <a:ext cx="7586028" cy="97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